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522B" w14:textId="77777777" w:rsidR="00A40025" w:rsidRPr="00B967EC" w:rsidRDefault="00A40025" w:rsidP="00A40025">
      <w:pPr>
        <w:pStyle w:val="Tekstpodstawowywcity2"/>
        <w:tabs>
          <w:tab w:val="left" w:pos="284"/>
        </w:tabs>
        <w:spacing w:line="360" w:lineRule="auto"/>
        <w:ind w:left="0" w:firstLine="0"/>
        <w:rPr>
          <w:bCs/>
          <w:sz w:val="24"/>
        </w:rPr>
      </w:pPr>
      <w:r w:rsidRPr="00C44780">
        <w:rPr>
          <w:bCs/>
          <w:sz w:val="24"/>
        </w:rPr>
        <w:t>KP-III.1431.</w:t>
      </w:r>
      <w:r>
        <w:rPr>
          <w:bCs/>
          <w:sz w:val="24"/>
        </w:rPr>
        <w:t>5</w:t>
      </w:r>
      <w:r w:rsidRPr="00C44780">
        <w:rPr>
          <w:bCs/>
          <w:sz w:val="24"/>
        </w:rPr>
        <w:t>.202</w:t>
      </w:r>
      <w:r>
        <w:rPr>
          <w:bCs/>
          <w:sz w:val="24"/>
        </w:rPr>
        <w:t>1</w:t>
      </w:r>
      <w:r w:rsidRPr="00C44780">
        <w:rPr>
          <w:bCs/>
          <w:sz w:val="24"/>
        </w:rPr>
        <w:t xml:space="preserve">        </w:t>
      </w:r>
      <w:r w:rsidRPr="009F2FDD">
        <w:rPr>
          <w:bCs/>
          <w:sz w:val="24"/>
        </w:rPr>
        <w:t xml:space="preserve">                                                                         </w:t>
      </w:r>
      <w:r w:rsidRPr="00B967EC">
        <w:rPr>
          <w:bCs/>
          <w:sz w:val="24"/>
        </w:rPr>
        <w:t xml:space="preserve">Kielce, </w:t>
      </w:r>
      <w:r>
        <w:rPr>
          <w:bCs/>
          <w:sz w:val="24"/>
        </w:rPr>
        <w:t>20</w:t>
      </w:r>
      <w:r w:rsidRPr="00B967EC">
        <w:rPr>
          <w:bCs/>
          <w:sz w:val="24"/>
        </w:rPr>
        <w:t>.</w:t>
      </w:r>
      <w:r>
        <w:rPr>
          <w:bCs/>
          <w:sz w:val="24"/>
        </w:rPr>
        <w:t>04</w:t>
      </w:r>
      <w:r w:rsidRPr="00B967EC">
        <w:rPr>
          <w:bCs/>
          <w:sz w:val="24"/>
        </w:rPr>
        <w:t>.202</w:t>
      </w:r>
      <w:r>
        <w:rPr>
          <w:bCs/>
          <w:sz w:val="24"/>
        </w:rPr>
        <w:t>1</w:t>
      </w:r>
      <w:r w:rsidRPr="00B967EC">
        <w:rPr>
          <w:bCs/>
          <w:sz w:val="24"/>
        </w:rPr>
        <w:t xml:space="preserve"> r.</w:t>
      </w:r>
    </w:p>
    <w:p w14:paraId="3B54FB03" w14:textId="77777777" w:rsidR="00A40025" w:rsidRPr="009F2FDD" w:rsidRDefault="00A40025" w:rsidP="00A40025">
      <w:pPr>
        <w:pStyle w:val="Tekstpodstawowywcity2"/>
        <w:tabs>
          <w:tab w:val="left" w:pos="284"/>
        </w:tabs>
        <w:spacing w:line="360" w:lineRule="auto"/>
        <w:ind w:left="0" w:firstLine="0"/>
        <w:rPr>
          <w:bCs/>
          <w:sz w:val="24"/>
        </w:rPr>
      </w:pPr>
    </w:p>
    <w:p w14:paraId="462E6F31" w14:textId="77777777" w:rsidR="00A40025" w:rsidRDefault="00A40025" w:rsidP="00A40025">
      <w:pPr>
        <w:pStyle w:val="Tekstpodstawowywcity2"/>
        <w:tabs>
          <w:tab w:val="clear" w:pos="142"/>
          <w:tab w:val="left" w:pos="0"/>
        </w:tabs>
        <w:spacing w:line="240" w:lineRule="auto"/>
        <w:ind w:left="0"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Wyniki </w:t>
      </w:r>
      <w:r w:rsidRPr="009F2FDD">
        <w:rPr>
          <w:b/>
          <w:bCs/>
          <w:sz w:val="24"/>
        </w:rPr>
        <w:t xml:space="preserve">kontroli </w:t>
      </w:r>
      <w:r>
        <w:rPr>
          <w:b/>
          <w:bCs/>
          <w:sz w:val="24"/>
        </w:rPr>
        <w:t xml:space="preserve">problemowej </w:t>
      </w:r>
      <w:r w:rsidRPr="009F2FDD">
        <w:rPr>
          <w:b/>
          <w:bCs/>
          <w:sz w:val="24"/>
        </w:rPr>
        <w:t xml:space="preserve">przeprowadzonej w </w:t>
      </w:r>
      <w:r>
        <w:rPr>
          <w:b/>
          <w:bCs/>
          <w:sz w:val="24"/>
        </w:rPr>
        <w:t>Młodzieżowym Ośrodku Wychowawczym w Kielcach.</w:t>
      </w:r>
    </w:p>
    <w:p w14:paraId="7E6C811D" w14:textId="77777777" w:rsidR="00A40025" w:rsidRDefault="00A40025" w:rsidP="00A40025">
      <w:pPr>
        <w:pStyle w:val="Tekstpodstawowywcity2"/>
        <w:spacing w:line="240" w:lineRule="auto"/>
        <w:ind w:left="0" w:firstLine="0"/>
        <w:jc w:val="both"/>
        <w:rPr>
          <w:sz w:val="24"/>
        </w:rPr>
      </w:pPr>
    </w:p>
    <w:p w14:paraId="23A23F55" w14:textId="77777777" w:rsidR="003B3E50" w:rsidRPr="00B52DC2" w:rsidRDefault="00BF0D3F" w:rsidP="00A40025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B52DC2">
        <w:rPr>
          <w:rFonts w:asciiTheme="minorHAnsi" w:hAnsiTheme="minorHAnsi"/>
          <w:sz w:val="22"/>
          <w:szCs w:val="22"/>
        </w:rPr>
        <w:t xml:space="preserve">Na podstawie upoważnienia Nr </w:t>
      </w:r>
      <w:r w:rsidR="00D95FE7" w:rsidRPr="00B52DC2">
        <w:rPr>
          <w:rFonts w:asciiTheme="minorHAnsi" w:hAnsiTheme="minorHAnsi"/>
          <w:sz w:val="22"/>
          <w:szCs w:val="22"/>
        </w:rPr>
        <w:t>5</w:t>
      </w:r>
      <w:r w:rsidRPr="00B52DC2">
        <w:rPr>
          <w:rFonts w:asciiTheme="minorHAnsi" w:hAnsiTheme="minorHAnsi"/>
          <w:sz w:val="22"/>
          <w:szCs w:val="22"/>
        </w:rPr>
        <w:t xml:space="preserve">/2021 wydanego przez Prezydenta Miasta Kielce pracownicy Biura Audytu Wewnętrznego i Kontroli w Kancelarii </w:t>
      </w:r>
      <w:r w:rsidR="00A40025">
        <w:rPr>
          <w:rFonts w:asciiTheme="minorHAnsi" w:hAnsiTheme="minorHAnsi"/>
          <w:sz w:val="22"/>
          <w:szCs w:val="22"/>
        </w:rPr>
        <w:t xml:space="preserve">Prezydenta Urzędu Miasta Kielce </w:t>
      </w:r>
      <w:r w:rsidRPr="00B52DC2">
        <w:rPr>
          <w:rFonts w:asciiTheme="minorHAnsi" w:hAnsiTheme="minorHAnsi"/>
          <w:sz w:val="22"/>
          <w:szCs w:val="22"/>
        </w:rPr>
        <w:t>przeprowadzili</w:t>
      </w:r>
      <w:r w:rsidR="00A40025">
        <w:rPr>
          <w:rFonts w:asciiTheme="minorHAnsi" w:hAnsiTheme="minorHAnsi"/>
          <w:sz w:val="22"/>
          <w:szCs w:val="22"/>
        </w:rPr>
        <w:br/>
      </w:r>
      <w:r w:rsidRPr="00B52DC2">
        <w:rPr>
          <w:rFonts w:asciiTheme="minorHAnsi" w:hAnsiTheme="minorHAnsi"/>
          <w:sz w:val="22"/>
          <w:szCs w:val="22"/>
        </w:rPr>
        <w:t xml:space="preserve">w dniach </w:t>
      </w:r>
      <w:r w:rsidR="003B3E50" w:rsidRPr="00B52DC2">
        <w:rPr>
          <w:rFonts w:asciiTheme="minorHAnsi" w:hAnsiTheme="minorHAnsi"/>
          <w:sz w:val="22"/>
          <w:szCs w:val="22"/>
        </w:rPr>
        <w:t xml:space="preserve">od </w:t>
      </w:r>
      <w:r w:rsidR="00D95FE7" w:rsidRPr="00B52DC2">
        <w:rPr>
          <w:rFonts w:asciiTheme="minorHAnsi" w:hAnsiTheme="minorHAnsi"/>
          <w:sz w:val="22"/>
          <w:szCs w:val="22"/>
        </w:rPr>
        <w:t>15 marca 2021 r. do 26</w:t>
      </w:r>
      <w:r w:rsidR="00D95FE7" w:rsidRPr="00B52DC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95FE7" w:rsidRPr="00B52DC2">
        <w:rPr>
          <w:rFonts w:asciiTheme="minorHAnsi" w:hAnsiTheme="minorHAnsi"/>
          <w:sz w:val="22"/>
          <w:szCs w:val="22"/>
        </w:rPr>
        <w:t>marca 2021 roku, z wyłączeniem dnia 23 marca 2021 r.</w:t>
      </w:r>
      <w:r w:rsidR="003B3E50" w:rsidRPr="00B52DC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B52DC2">
        <w:rPr>
          <w:rFonts w:asciiTheme="minorHAnsi" w:hAnsiTheme="minorHAnsi"/>
          <w:sz w:val="22"/>
          <w:szCs w:val="22"/>
        </w:rPr>
        <w:t xml:space="preserve">kontrolę </w:t>
      </w:r>
      <w:r w:rsidR="003B3E50" w:rsidRPr="00B52DC2">
        <w:rPr>
          <w:rFonts w:asciiTheme="minorHAnsi" w:hAnsiTheme="minorHAnsi"/>
          <w:sz w:val="22"/>
          <w:szCs w:val="22"/>
        </w:rPr>
        <w:t>problemową</w:t>
      </w:r>
      <w:r w:rsidRPr="00B52DC2">
        <w:rPr>
          <w:rFonts w:asciiTheme="minorHAnsi" w:hAnsiTheme="minorHAnsi"/>
          <w:sz w:val="22"/>
          <w:szCs w:val="22"/>
        </w:rPr>
        <w:t xml:space="preserve"> za okres od 01 stycznia 20</w:t>
      </w:r>
      <w:r w:rsidR="003B3E50" w:rsidRPr="00B52DC2">
        <w:rPr>
          <w:rFonts w:asciiTheme="minorHAnsi" w:hAnsiTheme="minorHAnsi"/>
          <w:sz w:val="22"/>
          <w:szCs w:val="22"/>
        </w:rPr>
        <w:t>20</w:t>
      </w:r>
      <w:r w:rsidRPr="00B52DC2">
        <w:rPr>
          <w:rFonts w:asciiTheme="minorHAnsi" w:hAnsiTheme="minorHAnsi"/>
          <w:sz w:val="22"/>
          <w:szCs w:val="22"/>
        </w:rPr>
        <w:t xml:space="preserve"> r. do 31 grudnia 20</w:t>
      </w:r>
      <w:r w:rsidR="003B3E50" w:rsidRPr="00B52DC2">
        <w:rPr>
          <w:rFonts w:asciiTheme="minorHAnsi" w:hAnsiTheme="minorHAnsi"/>
          <w:sz w:val="22"/>
          <w:szCs w:val="22"/>
        </w:rPr>
        <w:t>20</w:t>
      </w:r>
      <w:r w:rsidRPr="00B52DC2">
        <w:rPr>
          <w:rFonts w:asciiTheme="minorHAnsi" w:hAnsiTheme="minorHAnsi"/>
          <w:sz w:val="22"/>
          <w:szCs w:val="22"/>
        </w:rPr>
        <w:t xml:space="preserve"> r.</w:t>
      </w:r>
      <w:r w:rsidR="00D95FE7" w:rsidRPr="00B52DC2">
        <w:rPr>
          <w:rFonts w:asciiTheme="minorHAnsi" w:hAnsiTheme="minorHAnsi"/>
          <w:sz w:val="22"/>
          <w:szCs w:val="22"/>
        </w:rPr>
        <w:t xml:space="preserve"> </w:t>
      </w:r>
      <w:r w:rsidR="003B3E50" w:rsidRPr="00B52DC2">
        <w:rPr>
          <w:rFonts w:asciiTheme="minorHAnsi" w:hAnsiTheme="minorHAnsi"/>
          <w:sz w:val="22"/>
          <w:szCs w:val="22"/>
        </w:rPr>
        <w:t xml:space="preserve"> w zakresie spraw organizacyjno - prawnych, prawidłowości prowadzenia gospodarki pieniężnej, rozrachunków, gospodarki środkami trwałymi i wyposażeniem, dochodów i wydatków budżetowych, a także przestrzegania przepisów ustawy – Prawo zamówień publicznych.</w:t>
      </w:r>
    </w:p>
    <w:p w14:paraId="226454DB" w14:textId="77777777" w:rsidR="003B3E50" w:rsidRPr="00B52DC2" w:rsidRDefault="003B3E50" w:rsidP="00BF0D3F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7E181924" w14:textId="77777777" w:rsidR="00BF0D3F" w:rsidRPr="00B52DC2" w:rsidRDefault="00BF0D3F" w:rsidP="00BF0D3F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B52DC2">
        <w:rPr>
          <w:rFonts w:asciiTheme="minorHAnsi" w:hAnsiTheme="minorHAnsi"/>
          <w:sz w:val="22"/>
          <w:szCs w:val="22"/>
        </w:rPr>
        <w:t>W wyniku kontroli stwierdzono niżej opisane nieprawidłowości i uchybienia, które powstały wskutek nieprzestrzegania obowiązujących przepisów prawa przez osoby odpowiedzialne:</w:t>
      </w:r>
    </w:p>
    <w:p w14:paraId="7D897422" w14:textId="77777777" w:rsidR="003B3E50" w:rsidRPr="00B52DC2" w:rsidRDefault="003B3E50" w:rsidP="003B3E50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1D393883" w14:textId="77777777" w:rsidR="00590BD1" w:rsidRPr="00B52DC2" w:rsidRDefault="00B52DC2" w:rsidP="00590BD1">
      <w:pPr>
        <w:spacing w:after="0" w:line="240" w:lineRule="auto"/>
        <w:jc w:val="both"/>
      </w:pPr>
      <w:r w:rsidRPr="00B52DC2">
        <w:t>Kontrola</w:t>
      </w:r>
      <w:r w:rsidR="00590BD1" w:rsidRPr="00B52DC2">
        <w:t xml:space="preserve"> w zakresie przydziału odzieży ochronnej, obuwia roboczego oraz środków ochrony indywidualnej dla pracowników, </w:t>
      </w:r>
      <w:r w:rsidRPr="00B52DC2">
        <w:t>wykazała</w:t>
      </w:r>
      <w:r w:rsidR="00590BD1" w:rsidRPr="00B52DC2">
        <w:t>, że kwestię t</w:t>
      </w:r>
      <w:r w:rsidR="00940C73">
        <w:t>ę</w:t>
      </w:r>
      <w:r w:rsidR="00590BD1" w:rsidRPr="00B52DC2">
        <w:t xml:space="preserve"> reguluje § 19 Regulaminu pracy oraz wprowadzone Zarządzeniem nr 4/2015 z dnia 01.09.2015 r. zasady przydziału środków ochrony indywidualnej oraz odzieży i obuwia roboczego dla pracowników zespołu. W regulaminie pracy</w:t>
      </w:r>
      <w:r w:rsidRPr="00B52DC2">
        <w:br/>
      </w:r>
      <w:r w:rsidR="00590BD1" w:rsidRPr="00B52DC2">
        <w:t xml:space="preserve">z 2007 r. z </w:t>
      </w:r>
      <w:proofErr w:type="spellStart"/>
      <w:r w:rsidR="00590BD1" w:rsidRPr="00B52DC2">
        <w:t>późn</w:t>
      </w:r>
      <w:proofErr w:type="spellEnd"/>
      <w:r w:rsidR="00590BD1" w:rsidRPr="00B52DC2">
        <w:t>. zm. wprowadzono załącznik nr 3 określający tabele norm przydziału środków ochrony indywidualnej oraz odzieży i obuwia roboczego, który nie jest zgodny z załącznikiem nr 1 do Zarządzenia nr 4/2015</w:t>
      </w:r>
      <w:r w:rsidR="0097117E">
        <w:t>.</w:t>
      </w:r>
      <w:r w:rsidR="00590BD1" w:rsidRPr="00B52DC2">
        <w:t xml:space="preserve"> </w:t>
      </w:r>
    </w:p>
    <w:p w14:paraId="3739AC51" w14:textId="77777777" w:rsidR="004A6340" w:rsidRPr="00B52DC2" w:rsidRDefault="004A6340" w:rsidP="00590BD1">
      <w:pPr>
        <w:spacing w:after="0" w:line="240" w:lineRule="auto"/>
        <w:jc w:val="both"/>
      </w:pPr>
      <w:r w:rsidRPr="00B52DC2">
        <w:rPr>
          <w:b/>
          <w:i/>
        </w:rPr>
        <w:t>Wniosek pokontrolny nr 1</w:t>
      </w:r>
    </w:p>
    <w:p w14:paraId="3A947824" w14:textId="77777777" w:rsidR="00D95FE7" w:rsidRPr="00B52DC2" w:rsidRDefault="00B52DC2" w:rsidP="00590BD1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B52DC2">
        <w:rPr>
          <w:rFonts w:asciiTheme="minorHAnsi" w:hAnsiTheme="minorHAnsi"/>
          <w:sz w:val="22"/>
          <w:szCs w:val="22"/>
        </w:rPr>
        <w:t xml:space="preserve">Ujednolicić </w:t>
      </w:r>
      <w:r w:rsidR="0097117E">
        <w:rPr>
          <w:rFonts w:asciiTheme="minorHAnsi" w:hAnsiTheme="minorHAnsi"/>
          <w:sz w:val="22"/>
          <w:szCs w:val="22"/>
        </w:rPr>
        <w:t xml:space="preserve">przepisy wewnętrzne dotyczące </w:t>
      </w:r>
      <w:r w:rsidRPr="00B52DC2">
        <w:rPr>
          <w:rFonts w:asciiTheme="minorHAnsi" w:hAnsiTheme="minorHAnsi"/>
          <w:sz w:val="22"/>
          <w:szCs w:val="22"/>
        </w:rPr>
        <w:t xml:space="preserve"> tabel</w:t>
      </w:r>
      <w:r w:rsidR="0097117E">
        <w:rPr>
          <w:rFonts w:asciiTheme="minorHAnsi" w:hAnsiTheme="minorHAnsi"/>
          <w:sz w:val="22"/>
          <w:szCs w:val="22"/>
        </w:rPr>
        <w:t>i</w:t>
      </w:r>
      <w:r w:rsidRPr="00B52DC2">
        <w:rPr>
          <w:rFonts w:asciiTheme="minorHAnsi" w:hAnsiTheme="minorHAnsi"/>
          <w:sz w:val="22"/>
          <w:szCs w:val="22"/>
        </w:rPr>
        <w:t xml:space="preserve"> norm  przydziału odzieży ochronnej, obuwia roboczego oraz środków ochrony indywidualnej dla pracowników</w:t>
      </w:r>
      <w:r w:rsidR="0097117E">
        <w:rPr>
          <w:rFonts w:asciiTheme="minorHAnsi" w:hAnsiTheme="minorHAnsi"/>
          <w:sz w:val="22"/>
          <w:szCs w:val="22"/>
        </w:rPr>
        <w:t>.</w:t>
      </w:r>
      <w:r w:rsidR="00590BD1" w:rsidRPr="00B52DC2">
        <w:rPr>
          <w:rFonts w:asciiTheme="minorHAnsi" w:hAnsiTheme="minorHAnsi"/>
          <w:sz w:val="22"/>
          <w:szCs w:val="22"/>
        </w:rPr>
        <w:t xml:space="preserve"> </w:t>
      </w:r>
    </w:p>
    <w:p w14:paraId="6CD1D950" w14:textId="77777777" w:rsidR="004A6340" w:rsidRPr="00B52DC2" w:rsidRDefault="004A6340" w:rsidP="004A6340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498AC2E7" w14:textId="77777777" w:rsidR="00787635" w:rsidRDefault="00590BD1" w:rsidP="00787635">
      <w:pPr>
        <w:spacing w:after="0" w:line="240" w:lineRule="auto"/>
        <w:jc w:val="both"/>
      </w:pPr>
      <w:r w:rsidRPr="00B52DC2">
        <w:t>W</w:t>
      </w:r>
      <w:r w:rsidR="00D95FE7" w:rsidRPr="00B52DC2">
        <w:t>yrywkowej kontroli poddano kartoteki odzieży i obuwia pracowników MOW</w:t>
      </w:r>
      <w:r w:rsidR="0097117E">
        <w:t>,</w:t>
      </w:r>
      <w:r w:rsidR="00D95FE7" w:rsidRPr="00B52DC2">
        <w:t xml:space="preserve"> przy czym stwierdzono, że sprzątaczki mają wydawane fartuchy w ilości niezgodnej z tabelą norm </w:t>
      </w:r>
      <w:r w:rsidRPr="00B52DC2">
        <w:t>stanowiącą załącznik nr 1 do zasad przydziału środków ochrony indywidualnej  oraz odzieży i obuwia roboczego dla pracowników zespołu. Dla</w:t>
      </w:r>
      <w:r w:rsidR="00D95FE7" w:rsidRPr="00B52DC2">
        <w:t xml:space="preserve"> nauczyciela w-f w</w:t>
      </w:r>
      <w:r w:rsidRPr="00B52DC2">
        <w:t xml:space="preserve"> </w:t>
      </w:r>
      <w:r w:rsidR="00D95FE7" w:rsidRPr="00B52DC2">
        <w:t xml:space="preserve">ogóle nie jest prowadzona kartoteka. </w:t>
      </w:r>
    </w:p>
    <w:p w14:paraId="6B640709" w14:textId="77777777" w:rsidR="00787635" w:rsidRDefault="00590BD1" w:rsidP="00787635">
      <w:pPr>
        <w:spacing w:after="0" w:line="240" w:lineRule="auto"/>
        <w:jc w:val="both"/>
      </w:pPr>
      <w:r w:rsidRPr="00B52DC2">
        <w:rPr>
          <w:b/>
          <w:i/>
        </w:rPr>
        <w:t>Wniosek pokontrolny nr 2</w:t>
      </w:r>
    </w:p>
    <w:p w14:paraId="776ECC6B" w14:textId="77777777" w:rsidR="00C93736" w:rsidRPr="00B52DC2" w:rsidRDefault="00B52DC2" w:rsidP="00787635">
      <w:pPr>
        <w:spacing w:after="0" w:line="240" w:lineRule="auto"/>
        <w:jc w:val="both"/>
      </w:pPr>
      <w:r>
        <w:t>W dalszej działalności k</w:t>
      </w:r>
      <w:r w:rsidR="00C93736" w:rsidRPr="00B52DC2">
        <w:t xml:space="preserve">artoteki odzieży i obuwia prowadzić dla wszystkich pracowników MOW, </w:t>
      </w:r>
      <w:r>
        <w:t xml:space="preserve"> </w:t>
      </w:r>
      <w:r w:rsidR="00C93736" w:rsidRPr="00B52DC2">
        <w:t>zgodnie z tabelą norm obowiązującą w jednostce.</w:t>
      </w:r>
    </w:p>
    <w:p w14:paraId="70A5114A" w14:textId="77777777" w:rsidR="00A40025" w:rsidRDefault="00A40025" w:rsidP="00B52DC2">
      <w:pPr>
        <w:spacing w:after="0" w:line="240" w:lineRule="auto"/>
        <w:jc w:val="both"/>
      </w:pPr>
    </w:p>
    <w:p w14:paraId="07953DCB" w14:textId="77777777" w:rsidR="00D95FE7" w:rsidRPr="00B52DC2" w:rsidRDefault="00D95FE7" w:rsidP="00B52DC2">
      <w:pPr>
        <w:spacing w:after="0" w:line="240" w:lineRule="auto"/>
        <w:jc w:val="both"/>
      </w:pPr>
      <w:r w:rsidRPr="00B52DC2">
        <w:t>Z zasad przydziału</w:t>
      </w:r>
      <w:r w:rsidR="00B52DC2">
        <w:t xml:space="preserve"> środków ochrony indywidualnej  </w:t>
      </w:r>
      <w:r w:rsidRPr="00B52DC2">
        <w:t xml:space="preserve">oraz odzieży i obuwia roboczego dla pracowników zespołu wynika, że </w:t>
      </w:r>
      <w:r w:rsidR="00B52DC2" w:rsidRPr="00B52DC2">
        <w:t>każdy z pracowników w momencie otrzymania odzieży powinien złożyć odpowiednie oświadczenie, które stanowi integralną część kartoteki odzieżowej.</w:t>
      </w:r>
      <w:r w:rsidR="00B52DC2">
        <w:br/>
      </w:r>
      <w:r w:rsidR="00B52DC2" w:rsidRPr="00B52DC2">
        <w:t>W przedstawionej do kontroli dokumentacji brak ww. oświadczenia.</w:t>
      </w:r>
      <w:r w:rsidR="00B52DC2">
        <w:t xml:space="preserve"> Ponadto </w:t>
      </w:r>
      <w:r w:rsidRPr="00B52DC2">
        <w:t>odzież</w:t>
      </w:r>
      <w:r w:rsidR="00B52DC2">
        <w:t>, obuwie czy środki ochrony indywidualnej są</w:t>
      </w:r>
      <w:r w:rsidRPr="00B52DC2">
        <w:t xml:space="preserve"> własnością pracodawcy. </w:t>
      </w:r>
      <w:r w:rsidR="00B52DC2">
        <w:t>P</w:t>
      </w:r>
      <w:r w:rsidRPr="00B52DC2">
        <w:t>racownik, z którym rozwiązuje się umowę o pracę powinien się z niej rozliczyć. Brak dokumentacji w tym zakresie w przypadku sprzątaczki, która rozwiązała umowę o pracę 28.09.2020 r. w zwi</w:t>
      </w:r>
      <w:r w:rsidR="00B52DC2" w:rsidRPr="00B52DC2">
        <w:t xml:space="preserve">ązku z przejściem na emeryturę. </w:t>
      </w:r>
    </w:p>
    <w:p w14:paraId="03705C9B" w14:textId="77777777" w:rsidR="00590BD1" w:rsidRPr="00B52DC2" w:rsidRDefault="00590BD1" w:rsidP="00B52DC2">
      <w:pPr>
        <w:spacing w:after="0" w:line="240" w:lineRule="auto"/>
        <w:jc w:val="both"/>
      </w:pPr>
      <w:r w:rsidRPr="00B52DC2">
        <w:rPr>
          <w:b/>
          <w:i/>
        </w:rPr>
        <w:t>Wniosek pokontrolny nr 3</w:t>
      </w:r>
    </w:p>
    <w:p w14:paraId="089D6135" w14:textId="77777777" w:rsidR="00590BD1" w:rsidRPr="00B52DC2" w:rsidRDefault="00C93736" w:rsidP="00D95FE7">
      <w:pPr>
        <w:jc w:val="both"/>
      </w:pPr>
      <w:r w:rsidRPr="00B52DC2">
        <w:t xml:space="preserve">W dalszej działalności jednostki zadbać o właściwe dokumentowanie </w:t>
      </w:r>
      <w:r w:rsidR="00B52DC2">
        <w:t xml:space="preserve">przydziału </w:t>
      </w:r>
      <w:r w:rsidRPr="00B52DC2">
        <w:t xml:space="preserve"> odzieży</w:t>
      </w:r>
      <w:r w:rsidR="0097117E">
        <w:t xml:space="preserve"> oraz</w:t>
      </w:r>
      <w:r w:rsidR="0097117E">
        <w:br/>
        <w:t>w przypadku rozwiązania umowy o pracę rozliczyć pracownika z otrzymanej odzieży</w:t>
      </w:r>
      <w:r w:rsidRPr="00B52DC2">
        <w:t xml:space="preserve"> ochronnej, obuwia roboczego czy środków ochrony indywidualnej</w:t>
      </w:r>
      <w:r w:rsidR="00B52DC2">
        <w:t>.</w:t>
      </w:r>
    </w:p>
    <w:p w14:paraId="18A6D8E4" w14:textId="77777777" w:rsidR="009B2193" w:rsidRPr="00B52DC2" w:rsidRDefault="009B2193" w:rsidP="009B2193">
      <w:pPr>
        <w:spacing w:after="0" w:line="240" w:lineRule="auto"/>
        <w:jc w:val="both"/>
      </w:pPr>
      <w:r w:rsidRPr="00B52DC2">
        <w:t xml:space="preserve">Kontroli poddano akta osobowe losowo wybranych pracowników. Stwierdzono, że </w:t>
      </w:r>
      <w:r w:rsidRPr="00B52DC2">
        <w:br/>
        <w:t>w teczkach pracowników znajdują się m.in. wnioski urlopowe oraz wnioski dotyczące zwolnienia od pracy w przypadku wychowywania przynajmniej jednego dziecka w wieku do 14-stu lat, które powin</w:t>
      </w:r>
      <w:r w:rsidR="005E09A4">
        <w:t>ny być przechowywane oddzielnie.</w:t>
      </w:r>
    </w:p>
    <w:p w14:paraId="53DB63DD" w14:textId="77777777" w:rsidR="000932C3" w:rsidRPr="00B52DC2" w:rsidRDefault="000932C3" w:rsidP="000932C3">
      <w:pPr>
        <w:spacing w:after="0" w:line="240" w:lineRule="auto"/>
        <w:jc w:val="both"/>
      </w:pPr>
      <w:r w:rsidRPr="00B52DC2">
        <w:rPr>
          <w:b/>
          <w:i/>
        </w:rPr>
        <w:lastRenderedPageBreak/>
        <w:t xml:space="preserve">Wniosek pokontrolny nr </w:t>
      </w:r>
      <w:r w:rsidR="009B2193" w:rsidRPr="00B52DC2">
        <w:rPr>
          <w:b/>
          <w:i/>
        </w:rPr>
        <w:t>4</w:t>
      </w:r>
    </w:p>
    <w:p w14:paraId="2293089A" w14:textId="77777777" w:rsidR="0094564C" w:rsidRPr="00B52DC2" w:rsidRDefault="0094564C" w:rsidP="00637D54">
      <w:pPr>
        <w:jc w:val="both"/>
      </w:pPr>
      <w:r w:rsidRPr="00B52DC2">
        <w:t xml:space="preserve">W dalszej działalności akta osobowe pracowników prowadzić zgodnie z </w:t>
      </w:r>
      <w:r w:rsidR="004F429A" w:rsidRPr="00B52DC2">
        <w:t>Rozporządzeniem Ministra Pracy i Polityki Socjalnej z dnia 10.12.2018 r. w sprawie dokumentacji pracowniczej (Dz. U.</w:t>
      </w:r>
      <w:r w:rsidR="005E09A4">
        <w:t xml:space="preserve"> </w:t>
      </w:r>
      <w:r w:rsidR="004F429A" w:rsidRPr="00B52DC2">
        <w:t>z 2018 r., poz.2369</w:t>
      </w:r>
      <w:r w:rsidR="009B2193" w:rsidRPr="00B52DC2">
        <w:t xml:space="preserve">), ze szczególnym uwzględnieniem </w:t>
      </w:r>
      <w:r w:rsidR="009A21C6" w:rsidRPr="00B52DC2">
        <w:t>§ 6 ust.1 pkt b oraz ust. 2</w:t>
      </w:r>
      <w:r w:rsidR="004F429A" w:rsidRPr="00B52DC2">
        <w:t xml:space="preserve">. </w:t>
      </w:r>
    </w:p>
    <w:p w14:paraId="7DBDC453" w14:textId="77777777" w:rsidR="00532348" w:rsidRPr="00B52DC2" w:rsidRDefault="00532348" w:rsidP="00532348">
      <w:pPr>
        <w:spacing w:after="0" w:line="240" w:lineRule="auto"/>
        <w:jc w:val="both"/>
      </w:pPr>
      <w:r w:rsidRPr="00B52DC2">
        <w:t xml:space="preserve">W miesiącu lipcu 2020 roku naliczono oraz wypłacono wynagrodzenie za czas urlopu dla wychowawcy za okres od 29.06.2020 r. do 19.07.2020 r. przy czym do podstawy wynagrodzenia przyjęto składniki zmienne z miesięcy danego roku szkolnego poprzedzających miesiąc rozpoczęcia urlopu (od września 2019 do maja 2020 r.). Nauczyciel ten wypracował również godziny doraźnych zastępstw w miesiącu czerwcu 2020 r. </w:t>
      </w:r>
      <w:r w:rsidR="005E09A4" w:rsidRPr="003B219E">
        <w:rPr>
          <w:sz w:val="24"/>
          <w:szCs w:val="24"/>
        </w:rPr>
        <w:t>W</w:t>
      </w:r>
      <w:r w:rsidR="005E09A4">
        <w:rPr>
          <w:sz w:val="24"/>
          <w:szCs w:val="24"/>
        </w:rPr>
        <w:t xml:space="preserve"> związku z powyższym </w:t>
      </w:r>
      <w:r w:rsidR="0097117E">
        <w:rPr>
          <w:sz w:val="24"/>
          <w:szCs w:val="24"/>
        </w:rPr>
        <w:t>w podstawie wynagrodzenia za urlop w miesiącu lipcu powinny zostać uwzględnione godziny z czerwca i wynagrodzenie to powinno zostać przeliczone.</w:t>
      </w:r>
      <w:r w:rsidR="0097117E" w:rsidRPr="00B52DC2">
        <w:t xml:space="preserve"> </w:t>
      </w:r>
    </w:p>
    <w:p w14:paraId="74218FD2" w14:textId="77777777" w:rsidR="000932C3" w:rsidRPr="00B52DC2" w:rsidRDefault="000932C3" w:rsidP="000932C3">
      <w:pPr>
        <w:spacing w:after="0" w:line="240" w:lineRule="auto"/>
        <w:jc w:val="both"/>
      </w:pPr>
      <w:r w:rsidRPr="00B52DC2">
        <w:rPr>
          <w:b/>
          <w:i/>
        </w:rPr>
        <w:t xml:space="preserve">Wniosek pokontrolny nr </w:t>
      </w:r>
      <w:r w:rsidR="00532348" w:rsidRPr="00B52DC2">
        <w:rPr>
          <w:b/>
          <w:i/>
        </w:rPr>
        <w:t>5</w:t>
      </w:r>
      <w:r w:rsidRPr="00B52DC2">
        <w:t xml:space="preserve"> </w:t>
      </w:r>
    </w:p>
    <w:p w14:paraId="46976C3E" w14:textId="77777777" w:rsidR="00532348" w:rsidRPr="00B52DC2" w:rsidRDefault="004F429A" w:rsidP="00532348">
      <w:pPr>
        <w:spacing w:after="0" w:line="240" w:lineRule="auto"/>
        <w:jc w:val="both"/>
      </w:pPr>
      <w:r w:rsidRPr="00B52DC2">
        <w:t xml:space="preserve">W dalszej działalności </w:t>
      </w:r>
      <w:r w:rsidR="0097117E">
        <w:t xml:space="preserve">jednostki </w:t>
      </w:r>
      <w:r w:rsidR="00532348" w:rsidRPr="00B52DC2">
        <w:t xml:space="preserve">wynagrodzenie za czas urlopu wyliczać z uwzględnieniem art. 67 ust. 2 ustawy z dnia 26 </w:t>
      </w:r>
      <w:r w:rsidR="00532348" w:rsidRPr="00B52DC2">
        <w:rPr>
          <w:color w:val="000000"/>
        </w:rPr>
        <w:t xml:space="preserve">stycznia 1982 r. Karta </w:t>
      </w:r>
      <w:r w:rsidR="00532348" w:rsidRPr="00B52DC2">
        <w:t xml:space="preserve">Nauczyciela </w:t>
      </w:r>
      <w:r w:rsidR="00532348" w:rsidRPr="00B52DC2">
        <w:rPr>
          <w:shd w:val="clear" w:color="auto" w:fill="FFFFFF"/>
        </w:rPr>
        <w:t xml:space="preserve">(Dz. U. z 2019 r. poz. 2215 z </w:t>
      </w:r>
      <w:proofErr w:type="spellStart"/>
      <w:r w:rsidR="00532348" w:rsidRPr="00B52DC2">
        <w:rPr>
          <w:shd w:val="clear" w:color="auto" w:fill="FFFFFF"/>
        </w:rPr>
        <w:t>póź</w:t>
      </w:r>
      <w:proofErr w:type="spellEnd"/>
      <w:r w:rsidR="00532348" w:rsidRPr="00B52DC2">
        <w:rPr>
          <w:shd w:val="clear" w:color="auto" w:fill="FFFFFF"/>
        </w:rPr>
        <w:t xml:space="preserve">. </w:t>
      </w:r>
      <w:proofErr w:type="spellStart"/>
      <w:r w:rsidR="00532348" w:rsidRPr="00B52DC2">
        <w:rPr>
          <w:shd w:val="clear" w:color="auto" w:fill="FFFFFF"/>
        </w:rPr>
        <w:t>zm</w:t>
      </w:r>
      <w:proofErr w:type="spellEnd"/>
      <w:r w:rsidR="00532348" w:rsidRPr="00B52DC2">
        <w:rPr>
          <w:shd w:val="clear" w:color="auto" w:fill="FFFFFF"/>
        </w:rPr>
        <w:t xml:space="preserve"> )</w:t>
      </w:r>
      <w:r w:rsidR="005E09A4">
        <w:rPr>
          <w:shd w:val="clear" w:color="auto" w:fill="FFFFFF"/>
        </w:rPr>
        <w:t>.</w:t>
      </w:r>
    </w:p>
    <w:p w14:paraId="3A20513A" w14:textId="77777777" w:rsidR="00532348" w:rsidRPr="00B52DC2" w:rsidRDefault="00532348" w:rsidP="000932C3">
      <w:pPr>
        <w:spacing w:after="0" w:line="240" w:lineRule="auto"/>
        <w:jc w:val="both"/>
      </w:pPr>
    </w:p>
    <w:p w14:paraId="04D8FB96" w14:textId="77777777" w:rsidR="00532348" w:rsidRPr="00B52DC2" w:rsidRDefault="00532348" w:rsidP="00532348">
      <w:pPr>
        <w:spacing w:after="0" w:line="240" w:lineRule="auto"/>
        <w:jc w:val="both"/>
      </w:pPr>
      <w:r w:rsidRPr="00B52DC2">
        <w:t>Sprawdzono naliczenie i wypłatę nagród jubileuszowych wybranych pracowników pedagogicznych</w:t>
      </w:r>
      <w:r w:rsidR="0097117E">
        <w:br/>
      </w:r>
      <w:r w:rsidRPr="00B52DC2">
        <w:t xml:space="preserve">i niepedagogicznych, przy czy stwierdzono, </w:t>
      </w:r>
      <w:r w:rsidR="00940C73">
        <w:t>ż</w:t>
      </w:r>
      <w:r w:rsidRPr="00B52DC2">
        <w:t>e w przypadku jednego pracownika pedagogicznego</w:t>
      </w:r>
      <w:r w:rsidR="0097117E">
        <w:br/>
      </w:r>
      <w:r w:rsidRPr="00B52DC2">
        <w:t xml:space="preserve">w podstawie naliczenia nagrody jubileuszowej za 20 lat pracy uwzględniono 19% dodatek stażowy, zamiast 20%. </w:t>
      </w:r>
    </w:p>
    <w:p w14:paraId="133850FC" w14:textId="77777777" w:rsidR="00532348" w:rsidRPr="00B52DC2" w:rsidRDefault="00532348" w:rsidP="00532348">
      <w:pPr>
        <w:spacing w:after="0" w:line="240" w:lineRule="auto"/>
        <w:jc w:val="both"/>
      </w:pPr>
      <w:r w:rsidRPr="00B52DC2">
        <w:rPr>
          <w:b/>
          <w:i/>
        </w:rPr>
        <w:t>Wniosek pokontrolny nr 6</w:t>
      </w:r>
      <w:r w:rsidRPr="00B52DC2">
        <w:t xml:space="preserve"> </w:t>
      </w:r>
    </w:p>
    <w:p w14:paraId="72877C74" w14:textId="77777777" w:rsidR="00532348" w:rsidRPr="00B52DC2" w:rsidRDefault="00532348" w:rsidP="00532348">
      <w:pPr>
        <w:spacing w:after="0" w:line="240" w:lineRule="auto"/>
        <w:jc w:val="both"/>
      </w:pPr>
      <w:r w:rsidRPr="00B52DC2">
        <w:t xml:space="preserve">W dalszej działalności </w:t>
      </w:r>
      <w:r w:rsidR="0097117E">
        <w:t xml:space="preserve">jednostki </w:t>
      </w:r>
      <w:r w:rsidRPr="00B52DC2">
        <w:t>do nagrody jubileuszowej za 20 lat pracy przyjmować dodatek stażowy</w:t>
      </w:r>
      <w:r w:rsidR="0097117E">
        <w:t xml:space="preserve"> </w:t>
      </w:r>
      <w:r w:rsidRPr="00B52DC2">
        <w:t>w wysokości 20%.</w:t>
      </w:r>
    </w:p>
    <w:p w14:paraId="52BE7516" w14:textId="77777777" w:rsidR="00532348" w:rsidRPr="00B52DC2" w:rsidRDefault="00532348" w:rsidP="00532348">
      <w:pPr>
        <w:spacing w:after="0" w:line="240" w:lineRule="auto"/>
        <w:jc w:val="both"/>
      </w:pPr>
    </w:p>
    <w:p w14:paraId="6F9EAC13" w14:textId="77777777" w:rsidR="00C64058" w:rsidRDefault="00532348" w:rsidP="00532348">
      <w:pPr>
        <w:spacing w:after="0" w:line="240" w:lineRule="auto"/>
        <w:jc w:val="both"/>
      </w:pPr>
      <w:r w:rsidRPr="00B52DC2">
        <w:t>Godziny doraźnych zastępstw wychowawcy mają wypłacane na podstawie rozliczenia przygotowywanego przez zastępcę dyrektora. Zestawienie to jest składane do księgowości pod koniec miesiąca</w:t>
      </w:r>
      <w:r w:rsidR="00940C73">
        <w:t xml:space="preserve">, na podstawie </w:t>
      </w:r>
      <w:r w:rsidRPr="00B52DC2">
        <w:t>którego sporządzana jest lista płac. Zestawienia  sporządzane</w:t>
      </w:r>
      <w:r w:rsidR="00C64058">
        <w:t xml:space="preserve"> są za</w:t>
      </w:r>
      <w:r w:rsidRPr="00B52DC2">
        <w:t xml:space="preserve"> pełne tygodnie</w:t>
      </w:r>
      <w:r w:rsidR="00940C73">
        <w:t>,</w:t>
      </w:r>
      <w:r w:rsidRPr="00B52DC2">
        <w:t xml:space="preserve"> w związku z czym obejmują </w:t>
      </w:r>
      <w:r w:rsidR="005E09A4">
        <w:t xml:space="preserve">także </w:t>
      </w:r>
      <w:r w:rsidRPr="00B52DC2">
        <w:t>początkowe dni kolejnego miesiąca, a co za tym idzie pracownicy maj</w:t>
      </w:r>
      <w:r w:rsidR="00940C73">
        <w:t>ą</w:t>
      </w:r>
      <w:r w:rsidRPr="00B52DC2">
        <w:t xml:space="preserve"> płacone za jeszcze niezrealizowane godziny. </w:t>
      </w:r>
    </w:p>
    <w:p w14:paraId="353C4200" w14:textId="77777777" w:rsidR="00532348" w:rsidRPr="00B52DC2" w:rsidRDefault="00532348" w:rsidP="00532348">
      <w:pPr>
        <w:spacing w:after="0" w:line="240" w:lineRule="auto"/>
        <w:jc w:val="both"/>
      </w:pPr>
      <w:r w:rsidRPr="00B52DC2">
        <w:rPr>
          <w:b/>
          <w:i/>
        </w:rPr>
        <w:t>Wniosek pokontrolny nr 7</w:t>
      </w:r>
      <w:r w:rsidRPr="00B52DC2">
        <w:t xml:space="preserve"> </w:t>
      </w:r>
    </w:p>
    <w:p w14:paraId="63BCBF75" w14:textId="77777777" w:rsidR="00532348" w:rsidRPr="00B52DC2" w:rsidRDefault="0053052B" w:rsidP="00532348">
      <w:pPr>
        <w:spacing w:after="0" w:line="240" w:lineRule="auto"/>
        <w:jc w:val="both"/>
      </w:pPr>
      <w:r w:rsidRPr="00B52DC2">
        <w:t xml:space="preserve">W dalszej działalności jednostki </w:t>
      </w:r>
      <w:r w:rsidR="00C64058">
        <w:t xml:space="preserve">przyjąć właściwy </w:t>
      </w:r>
      <w:r w:rsidR="005E09A4" w:rsidRPr="00B52DC2">
        <w:t xml:space="preserve"> okres rozliczeniowy </w:t>
      </w:r>
      <w:r w:rsidR="005E09A4">
        <w:t xml:space="preserve">dla </w:t>
      </w:r>
      <w:r w:rsidRPr="00B52DC2">
        <w:t>rozlicz</w:t>
      </w:r>
      <w:r w:rsidR="005E09A4">
        <w:t>eń</w:t>
      </w:r>
      <w:r w:rsidRPr="00B52DC2">
        <w:t xml:space="preserve"> godzin doraźnych zastępstw,</w:t>
      </w:r>
      <w:r w:rsidR="009151FD" w:rsidRPr="00B52DC2">
        <w:t xml:space="preserve"> tak aby dokonywać wypłat tylko i wyłącznie za zrealizowane godziny.</w:t>
      </w:r>
      <w:r w:rsidRPr="00B52DC2">
        <w:t xml:space="preserve"> </w:t>
      </w:r>
    </w:p>
    <w:p w14:paraId="5B09D3F4" w14:textId="77777777" w:rsidR="009151FD" w:rsidRPr="00B52DC2" w:rsidRDefault="009151FD" w:rsidP="00532348">
      <w:pPr>
        <w:spacing w:after="0" w:line="240" w:lineRule="auto"/>
        <w:jc w:val="both"/>
      </w:pPr>
    </w:p>
    <w:p w14:paraId="2315196D" w14:textId="77777777" w:rsidR="00532348" w:rsidRPr="00B52DC2" w:rsidRDefault="00F55599" w:rsidP="00532348">
      <w:pPr>
        <w:spacing w:after="0" w:line="240" w:lineRule="auto"/>
        <w:jc w:val="both"/>
      </w:pPr>
      <w:r w:rsidRPr="00F55599">
        <w:t>W kontrolowanym okresie</w:t>
      </w:r>
      <w:r>
        <w:t xml:space="preserve"> n</w:t>
      </w:r>
      <w:r w:rsidR="005E09A4">
        <w:t xml:space="preserve">aliczenie </w:t>
      </w:r>
      <w:r w:rsidR="00532348" w:rsidRPr="00B52DC2">
        <w:t xml:space="preserve"> i wypłat</w:t>
      </w:r>
      <w:r w:rsidR="005E09A4">
        <w:t xml:space="preserve">a </w:t>
      </w:r>
      <w:r w:rsidR="00532348" w:rsidRPr="00B52DC2">
        <w:t xml:space="preserve"> za godziny doraźnych zastępstw </w:t>
      </w:r>
      <w:r w:rsidR="00176802" w:rsidRPr="00B52DC2">
        <w:t xml:space="preserve">dokonywane były </w:t>
      </w:r>
      <w:r w:rsidR="00532348" w:rsidRPr="00B52DC2">
        <w:t xml:space="preserve">za nie pełne godziny. </w:t>
      </w:r>
    </w:p>
    <w:p w14:paraId="7B7D1FA5" w14:textId="77777777" w:rsidR="00532348" w:rsidRPr="00B52DC2" w:rsidRDefault="00532348" w:rsidP="00532348">
      <w:pPr>
        <w:spacing w:after="0" w:line="240" w:lineRule="auto"/>
        <w:jc w:val="both"/>
      </w:pPr>
      <w:r w:rsidRPr="00B52DC2">
        <w:rPr>
          <w:b/>
          <w:i/>
        </w:rPr>
        <w:t>Wniosek pokontrolny nr 8</w:t>
      </w:r>
      <w:r w:rsidRPr="00B52DC2">
        <w:t xml:space="preserve"> </w:t>
      </w:r>
    </w:p>
    <w:p w14:paraId="0A33EDDD" w14:textId="77777777" w:rsidR="00532348" w:rsidRPr="00B52DC2" w:rsidRDefault="00532348" w:rsidP="00532348">
      <w:pPr>
        <w:spacing w:after="0" w:line="240" w:lineRule="auto"/>
        <w:jc w:val="both"/>
      </w:pPr>
      <w:r w:rsidRPr="00B52DC2">
        <w:t xml:space="preserve">Godziny doraźnych zastępstw </w:t>
      </w:r>
      <w:r w:rsidR="00F55599">
        <w:t xml:space="preserve">naliczać </w:t>
      </w:r>
      <w:r w:rsidR="00176802" w:rsidRPr="00B52DC2">
        <w:t xml:space="preserve"> i wypłacać </w:t>
      </w:r>
      <w:r w:rsidRPr="00B52DC2">
        <w:t>zgodnie z § 8 ust. 3 Uchwały  Nr XXXIV/783/2009 Rady Miejskiej w Kielcach z dnia 19 marca 2009 r. z późniejszymi zmianami</w:t>
      </w:r>
      <w:r w:rsidR="00F55599">
        <w:t xml:space="preserve"> tzn.</w:t>
      </w:r>
      <w:r w:rsidRPr="00B52DC2">
        <w:t xml:space="preserve"> miesięczną liczbę godzin obowiązkowego lub realizowanego wymiaru zajęć nauczyciela, o której mowa</w:t>
      </w:r>
      <w:r w:rsidR="00176802" w:rsidRPr="00B52DC2">
        <w:t xml:space="preserve"> </w:t>
      </w:r>
      <w:r w:rsidRPr="00B52DC2">
        <w:t>w ust. 1 i 2, ustala się mnożąc tygodniowy obowiązkowy lub realizowany wymiar zajęć przez 4,16 z zaokrągleniem do pełnych godzin w ten sposób, że czas zajęć do 0,5 godziny pomija się, a co najmniej 0,5 godziny liczy się za pełną godzinę;</w:t>
      </w:r>
    </w:p>
    <w:p w14:paraId="0538E093" w14:textId="77777777" w:rsidR="00532348" w:rsidRPr="00B52DC2" w:rsidRDefault="00532348" w:rsidP="00532348">
      <w:pPr>
        <w:spacing w:after="0" w:line="240" w:lineRule="auto"/>
        <w:jc w:val="both"/>
      </w:pPr>
    </w:p>
    <w:p w14:paraId="720C1E19" w14:textId="77777777" w:rsidR="00890761" w:rsidRDefault="00532348" w:rsidP="009151FD">
      <w:pPr>
        <w:spacing w:after="0" w:line="240" w:lineRule="auto"/>
        <w:jc w:val="both"/>
      </w:pPr>
      <w:r w:rsidRPr="00B52DC2">
        <w:t>W przypadku pracownika pedagogicznego korzystającego ze zwolnienia w celu sprawowania opieki nad dzieckiem do lat 14-stu wynagrodzenie za te dni zostało naliczone w nieprawidłowy sposób, ponieważ w podstawie tego wynagrodzenia nie zostały uwzględnione godziny ponadwymiarowe</w:t>
      </w:r>
      <w:r w:rsidR="00F55599">
        <w:br/>
      </w:r>
      <w:r w:rsidRPr="00B52DC2">
        <w:t xml:space="preserve">z miesiąca </w:t>
      </w:r>
      <w:r w:rsidR="009151FD" w:rsidRPr="00B52DC2">
        <w:t xml:space="preserve"> usprawiedliwionej nieobecności. </w:t>
      </w:r>
      <w:r w:rsidRPr="00B52DC2">
        <w:t xml:space="preserve"> </w:t>
      </w:r>
    </w:p>
    <w:p w14:paraId="55EB95D9" w14:textId="77777777" w:rsidR="009151FD" w:rsidRPr="00B52DC2" w:rsidRDefault="009151FD" w:rsidP="009151FD">
      <w:pPr>
        <w:spacing w:after="0" w:line="240" w:lineRule="auto"/>
        <w:jc w:val="both"/>
      </w:pPr>
      <w:r w:rsidRPr="00B52DC2">
        <w:t>Natomiast w</w:t>
      </w:r>
      <w:r w:rsidR="00532348" w:rsidRPr="00B52DC2">
        <w:t xml:space="preserve"> przypadku pracownika niepedagogicznego korzystającego z urlopu okolicznościowego wynagrodzenie za te dni zostało naliczone</w:t>
      </w:r>
      <w:r w:rsidR="00890761">
        <w:t xml:space="preserve"> </w:t>
      </w:r>
      <w:r w:rsidR="00532348" w:rsidRPr="00B52DC2">
        <w:t>w nieprawidłowy sposób, ponieważ</w:t>
      </w:r>
      <w:r w:rsidR="00F55599">
        <w:t xml:space="preserve"> </w:t>
      </w:r>
      <w:r w:rsidR="00532348" w:rsidRPr="00B52DC2">
        <w:t>w podstawie tego wynagrodzenia zostały uwzględnione składniki zmienne z okresu trzech miesięcy poprzedzających miesiąc udzielenia urlopu okolicznościowego,</w:t>
      </w:r>
      <w:r w:rsidR="00890761">
        <w:t xml:space="preserve"> </w:t>
      </w:r>
      <w:r w:rsidR="00532348" w:rsidRPr="00B52DC2">
        <w:t>a nie z miesiąca  usprawiedliwionej nieobecności</w:t>
      </w:r>
      <w:r w:rsidRPr="00B52DC2">
        <w:t>.</w:t>
      </w:r>
    </w:p>
    <w:p w14:paraId="49E08DE8" w14:textId="77777777" w:rsidR="00A40025" w:rsidRDefault="00A40025" w:rsidP="009151FD">
      <w:pPr>
        <w:spacing w:after="0" w:line="240" w:lineRule="auto"/>
        <w:jc w:val="both"/>
        <w:rPr>
          <w:b/>
          <w:i/>
        </w:rPr>
      </w:pPr>
    </w:p>
    <w:p w14:paraId="46B0E296" w14:textId="77777777" w:rsidR="009151FD" w:rsidRPr="00B52DC2" w:rsidRDefault="009151FD" w:rsidP="009151FD">
      <w:pPr>
        <w:spacing w:after="0" w:line="240" w:lineRule="auto"/>
        <w:jc w:val="both"/>
      </w:pPr>
      <w:r w:rsidRPr="00B52DC2">
        <w:rPr>
          <w:b/>
          <w:i/>
        </w:rPr>
        <w:lastRenderedPageBreak/>
        <w:t xml:space="preserve">Wniosek pokontrolny nr </w:t>
      </w:r>
      <w:r w:rsidR="00890761">
        <w:rPr>
          <w:b/>
          <w:i/>
        </w:rPr>
        <w:t>9</w:t>
      </w:r>
      <w:r w:rsidRPr="00B52DC2">
        <w:t xml:space="preserve"> </w:t>
      </w:r>
    </w:p>
    <w:p w14:paraId="0AF15E26" w14:textId="77777777" w:rsidR="00532348" w:rsidRPr="00B52DC2" w:rsidRDefault="00890761" w:rsidP="009151FD">
      <w:pPr>
        <w:spacing w:after="0" w:line="240" w:lineRule="auto"/>
        <w:jc w:val="both"/>
      </w:pPr>
      <w:r>
        <w:t xml:space="preserve">Podstawę </w:t>
      </w:r>
      <w:r w:rsidR="009151FD" w:rsidRPr="00B52DC2">
        <w:t xml:space="preserve"> wynagrodzenia za urlop okolicznościowy czy z tytułu sprawowania opieki nad dzieckiem do lat 14-stu naliczać zgodnie z </w:t>
      </w:r>
      <w:r w:rsidR="00532348" w:rsidRPr="00B52DC2">
        <w:rPr>
          <w:rStyle w:val="Pogrubienie"/>
          <w:b w:val="0"/>
        </w:rPr>
        <w:t xml:space="preserve">§ 5 ust. </w:t>
      </w:r>
      <w:r w:rsidR="00532348" w:rsidRPr="00B52DC2">
        <w:t>1 Rozporządzenia Ministra Pracy</w:t>
      </w:r>
      <w:r w:rsidR="009151FD" w:rsidRPr="00B52DC2">
        <w:t xml:space="preserve"> </w:t>
      </w:r>
      <w:r w:rsidR="00532348" w:rsidRPr="00B52DC2">
        <w:t>i Polityki Socjalnej z dnia 29.05.1996 r. w sprawie sposobu ustalania wynagrodzenia</w:t>
      </w:r>
      <w:r>
        <w:t xml:space="preserve"> </w:t>
      </w:r>
      <w:r w:rsidR="00532348" w:rsidRPr="00B52DC2">
        <w:t>w okresie niewykonywania pracy oraz wynagrodzenia stanowiącego podstawę obliczania odszkodowań, odpraw, dodatków wyrównawczych do wynagrodzenia oraz innych należności przewidzianych</w:t>
      </w:r>
      <w:r w:rsidR="00940C73">
        <w:t xml:space="preserve"> </w:t>
      </w:r>
      <w:r w:rsidR="00532348" w:rsidRPr="00B52DC2">
        <w:t>w Kodeksie pra</w:t>
      </w:r>
      <w:r w:rsidR="009151FD" w:rsidRPr="00B52DC2">
        <w:t>cy ( Dz. U. z 2017 r. poz. 927).</w:t>
      </w:r>
    </w:p>
    <w:p w14:paraId="68B5A07C" w14:textId="77777777" w:rsidR="009151FD" w:rsidRPr="00B52DC2" w:rsidRDefault="009151FD" w:rsidP="009151FD">
      <w:pPr>
        <w:spacing w:after="0" w:line="240" w:lineRule="auto"/>
        <w:jc w:val="both"/>
      </w:pPr>
    </w:p>
    <w:p w14:paraId="1ADA963B" w14:textId="77777777" w:rsidR="00532348" w:rsidRPr="00B52DC2" w:rsidRDefault="00532348" w:rsidP="009151FD">
      <w:pPr>
        <w:spacing w:after="0" w:line="240" w:lineRule="auto"/>
        <w:jc w:val="both"/>
      </w:pPr>
      <w:r w:rsidRPr="00B52DC2">
        <w:t xml:space="preserve">W przypadku pracownika niepedagogicznego do naliczenia </w:t>
      </w:r>
      <w:r w:rsidR="00E86FFF" w:rsidRPr="00B52DC2">
        <w:t xml:space="preserve">w miesiącu grudniu 2020 r. </w:t>
      </w:r>
      <w:r w:rsidRPr="00B52DC2">
        <w:t xml:space="preserve">potrącenia za dni usprawiedliwionej nieobecności </w:t>
      </w:r>
      <w:r w:rsidR="00E86FFF">
        <w:t xml:space="preserve"> w pracy </w:t>
      </w:r>
      <w:r w:rsidRPr="00B52DC2">
        <w:t>(urlop bezpłatny) przyjęt</w:t>
      </w:r>
      <w:r w:rsidR="00E86FFF">
        <w:t>o</w:t>
      </w:r>
      <w:r w:rsidRPr="00B52DC2">
        <w:t xml:space="preserve"> błędn</w:t>
      </w:r>
      <w:r w:rsidR="00E86FFF">
        <w:t>ą</w:t>
      </w:r>
      <w:r w:rsidRPr="00B52DC2">
        <w:t xml:space="preserve"> norm</w:t>
      </w:r>
      <w:r w:rsidR="00E86FFF">
        <w:t>ę</w:t>
      </w:r>
      <w:r w:rsidRPr="00B52DC2">
        <w:t xml:space="preserve"> czasu pracy</w:t>
      </w:r>
      <w:r w:rsidR="00C64058">
        <w:t>.</w:t>
      </w:r>
      <w:r w:rsidRPr="00B52DC2">
        <w:t xml:space="preserve"> </w:t>
      </w:r>
    </w:p>
    <w:p w14:paraId="4EC21F76" w14:textId="77777777" w:rsidR="005B394E" w:rsidRPr="00B52DC2" w:rsidRDefault="005B394E" w:rsidP="005B394E">
      <w:pPr>
        <w:spacing w:after="0" w:line="240" w:lineRule="auto"/>
        <w:jc w:val="both"/>
      </w:pPr>
      <w:r w:rsidRPr="00B52DC2">
        <w:rPr>
          <w:b/>
          <w:i/>
        </w:rPr>
        <w:t>Wniosek pokontrolny nr 1</w:t>
      </w:r>
      <w:r w:rsidR="00890761">
        <w:rPr>
          <w:b/>
          <w:i/>
        </w:rPr>
        <w:t>0</w:t>
      </w:r>
      <w:r w:rsidRPr="00B52DC2">
        <w:t xml:space="preserve"> </w:t>
      </w:r>
    </w:p>
    <w:p w14:paraId="083DDD65" w14:textId="77777777" w:rsidR="00B55457" w:rsidRPr="00B52DC2" w:rsidRDefault="005B394E" w:rsidP="00BF0D3F">
      <w:pPr>
        <w:spacing w:after="0" w:line="240" w:lineRule="auto"/>
      </w:pPr>
      <w:r w:rsidRPr="00B52DC2">
        <w:t>Do potrącenia za usprawiedliwione nieobecności w pracy przyjmować właściwą normę czasu pracy</w:t>
      </w:r>
      <w:r w:rsidR="00C64058">
        <w:br/>
      </w:r>
      <w:r w:rsidR="00E86FFF">
        <w:t xml:space="preserve">z miesiąca wystąpienia nieobecności </w:t>
      </w:r>
      <w:r w:rsidRPr="00B52DC2">
        <w:t>.</w:t>
      </w:r>
    </w:p>
    <w:p w14:paraId="486311E8" w14:textId="77777777" w:rsidR="005B394E" w:rsidRPr="00B52DC2" w:rsidRDefault="005B394E" w:rsidP="00BF0D3F">
      <w:pPr>
        <w:spacing w:after="0" w:line="240" w:lineRule="auto"/>
        <w:rPr>
          <w:b/>
        </w:rPr>
      </w:pPr>
    </w:p>
    <w:sectPr w:rsidR="005B394E" w:rsidRPr="00B52DC2" w:rsidSect="00CE47E8"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8FA8" w14:textId="77777777" w:rsidR="00497B1C" w:rsidRDefault="00497B1C" w:rsidP="001E0808">
      <w:pPr>
        <w:spacing w:after="0" w:line="240" w:lineRule="auto"/>
      </w:pPr>
      <w:r>
        <w:separator/>
      </w:r>
    </w:p>
  </w:endnote>
  <w:endnote w:type="continuationSeparator" w:id="0">
    <w:p w14:paraId="6193D7F6" w14:textId="77777777" w:rsidR="00497B1C" w:rsidRDefault="00497B1C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BBCB" w14:textId="77777777" w:rsidR="00497B1C" w:rsidRDefault="00497B1C" w:rsidP="001E0808">
      <w:pPr>
        <w:spacing w:after="0" w:line="240" w:lineRule="auto"/>
      </w:pPr>
      <w:r>
        <w:separator/>
      </w:r>
    </w:p>
  </w:footnote>
  <w:footnote w:type="continuationSeparator" w:id="0">
    <w:p w14:paraId="4109C669" w14:textId="77777777" w:rsidR="00497B1C" w:rsidRDefault="00497B1C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DF"/>
    <w:multiLevelType w:val="hybridMultilevel"/>
    <w:tmpl w:val="E366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F12"/>
    <w:multiLevelType w:val="singleLevel"/>
    <w:tmpl w:val="5BBA4A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2"/>
        <w:szCs w:val="22"/>
      </w:rPr>
    </w:lvl>
  </w:abstractNum>
  <w:abstractNum w:abstractNumId="3" w15:restartNumberingAfterBreak="0">
    <w:nsid w:val="2C4A3BEC"/>
    <w:multiLevelType w:val="singleLevel"/>
    <w:tmpl w:val="386A9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682726"/>
    <w:multiLevelType w:val="hybridMultilevel"/>
    <w:tmpl w:val="262AA14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1E27486"/>
    <w:multiLevelType w:val="hybridMultilevel"/>
    <w:tmpl w:val="A4D4E290"/>
    <w:lvl w:ilvl="0" w:tplc="CF940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E545E"/>
    <w:multiLevelType w:val="hybridMultilevel"/>
    <w:tmpl w:val="CD8A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121E7"/>
    <w:rsid w:val="00022748"/>
    <w:rsid w:val="00027130"/>
    <w:rsid w:val="000309F2"/>
    <w:rsid w:val="0008788D"/>
    <w:rsid w:val="000932C3"/>
    <w:rsid w:val="000C083B"/>
    <w:rsid w:val="000F35E7"/>
    <w:rsid w:val="000F4D33"/>
    <w:rsid w:val="00127569"/>
    <w:rsid w:val="00172A87"/>
    <w:rsid w:val="001735EC"/>
    <w:rsid w:val="00176802"/>
    <w:rsid w:val="001E0808"/>
    <w:rsid w:val="00207712"/>
    <w:rsid w:val="0021609A"/>
    <w:rsid w:val="00237AAF"/>
    <w:rsid w:val="002724D6"/>
    <w:rsid w:val="002763F3"/>
    <w:rsid w:val="00276EBC"/>
    <w:rsid w:val="00277DA4"/>
    <w:rsid w:val="003164DA"/>
    <w:rsid w:val="00331C9A"/>
    <w:rsid w:val="003321C9"/>
    <w:rsid w:val="00334863"/>
    <w:rsid w:val="003575BA"/>
    <w:rsid w:val="003628AF"/>
    <w:rsid w:val="00373C04"/>
    <w:rsid w:val="00381ED3"/>
    <w:rsid w:val="003B3E50"/>
    <w:rsid w:val="003D1A58"/>
    <w:rsid w:val="003E70D3"/>
    <w:rsid w:val="003E7778"/>
    <w:rsid w:val="00402A33"/>
    <w:rsid w:val="00452143"/>
    <w:rsid w:val="00497B1C"/>
    <w:rsid w:val="004A31AC"/>
    <w:rsid w:val="004A6340"/>
    <w:rsid w:val="004A7C1A"/>
    <w:rsid w:val="004B09A5"/>
    <w:rsid w:val="004C76E8"/>
    <w:rsid w:val="004D6DCB"/>
    <w:rsid w:val="004F429A"/>
    <w:rsid w:val="0052043A"/>
    <w:rsid w:val="00523C3A"/>
    <w:rsid w:val="00524300"/>
    <w:rsid w:val="0053052B"/>
    <w:rsid w:val="00532348"/>
    <w:rsid w:val="0055197E"/>
    <w:rsid w:val="005533AF"/>
    <w:rsid w:val="00590BD1"/>
    <w:rsid w:val="00591A18"/>
    <w:rsid w:val="005B1DB2"/>
    <w:rsid w:val="005B394E"/>
    <w:rsid w:val="005D107A"/>
    <w:rsid w:val="005D583F"/>
    <w:rsid w:val="005D6D47"/>
    <w:rsid w:val="005E09A4"/>
    <w:rsid w:val="006263F4"/>
    <w:rsid w:val="0062700D"/>
    <w:rsid w:val="00631A9E"/>
    <w:rsid w:val="00637D54"/>
    <w:rsid w:val="0068455F"/>
    <w:rsid w:val="0068620C"/>
    <w:rsid w:val="006E1F7B"/>
    <w:rsid w:val="0070510C"/>
    <w:rsid w:val="007748FB"/>
    <w:rsid w:val="00787635"/>
    <w:rsid w:val="007B40BF"/>
    <w:rsid w:val="007E01E1"/>
    <w:rsid w:val="007F5F26"/>
    <w:rsid w:val="0082387F"/>
    <w:rsid w:val="00826097"/>
    <w:rsid w:val="00864F1D"/>
    <w:rsid w:val="00890761"/>
    <w:rsid w:val="009151FD"/>
    <w:rsid w:val="00940C73"/>
    <w:rsid w:val="00943FF4"/>
    <w:rsid w:val="0094564C"/>
    <w:rsid w:val="0097117E"/>
    <w:rsid w:val="00973E82"/>
    <w:rsid w:val="009A21C6"/>
    <w:rsid w:val="009A316B"/>
    <w:rsid w:val="009B2193"/>
    <w:rsid w:val="009F7228"/>
    <w:rsid w:val="00A16B67"/>
    <w:rsid w:val="00A40025"/>
    <w:rsid w:val="00A40B2C"/>
    <w:rsid w:val="00A42652"/>
    <w:rsid w:val="00A90266"/>
    <w:rsid w:val="00A91FDA"/>
    <w:rsid w:val="00AB0AB3"/>
    <w:rsid w:val="00AB5517"/>
    <w:rsid w:val="00AC5AA4"/>
    <w:rsid w:val="00B106EA"/>
    <w:rsid w:val="00B50151"/>
    <w:rsid w:val="00B52DC2"/>
    <w:rsid w:val="00B55457"/>
    <w:rsid w:val="00B914F6"/>
    <w:rsid w:val="00BA44C9"/>
    <w:rsid w:val="00BB1DCC"/>
    <w:rsid w:val="00BF0D3F"/>
    <w:rsid w:val="00C17B59"/>
    <w:rsid w:val="00C64058"/>
    <w:rsid w:val="00C75D73"/>
    <w:rsid w:val="00C93736"/>
    <w:rsid w:val="00CE47E8"/>
    <w:rsid w:val="00CE6688"/>
    <w:rsid w:val="00CF741D"/>
    <w:rsid w:val="00D13A9A"/>
    <w:rsid w:val="00D50CAD"/>
    <w:rsid w:val="00D95FE7"/>
    <w:rsid w:val="00DA06DB"/>
    <w:rsid w:val="00DC24F5"/>
    <w:rsid w:val="00DC52BC"/>
    <w:rsid w:val="00DC7922"/>
    <w:rsid w:val="00DD3CC5"/>
    <w:rsid w:val="00DD631F"/>
    <w:rsid w:val="00DE4E4E"/>
    <w:rsid w:val="00E45BB4"/>
    <w:rsid w:val="00E4797F"/>
    <w:rsid w:val="00E86FFF"/>
    <w:rsid w:val="00F00524"/>
    <w:rsid w:val="00F27FB1"/>
    <w:rsid w:val="00F55599"/>
    <w:rsid w:val="00F92BF5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D3031"/>
  <w15:docId w15:val="{58348F82-E53C-47FE-8D7E-70667DD3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31F"/>
  </w:style>
  <w:style w:type="paragraph" w:styleId="Nagwek1">
    <w:name w:val="heading 1"/>
    <w:basedOn w:val="Normalny"/>
    <w:next w:val="Normalny"/>
    <w:link w:val="Nagwek1Znak"/>
    <w:uiPriority w:val="99"/>
    <w:qFormat/>
    <w:rsid w:val="005533AF"/>
    <w:pPr>
      <w:keepNext/>
      <w:tabs>
        <w:tab w:val="num" w:pos="2340"/>
      </w:tabs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F0D3F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D3F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0D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0D3F"/>
    <w:rPr>
      <w:sz w:val="16"/>
      <w:szCs w:val="16"/>
    </w:rPr>
  </w:style>
  <w:style w:type="character" w:styleId="Pogrubienie">
    <w:name w:val="Strong"/>
    <w:uiPriority w:val="22"/>
    <w:qFormat/>
    <w:rsid w:val="005533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5533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6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6B6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2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5959-487E-46D0-8C13-4A322044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Rajchert</dc:creator>
  <cp:keywords/>
  <dc:description/>
  <cp:lastModifiedBy>Mariusz Osiński</cp:lastModifiedBy>
  <cp:revision>2</cp:revision>
  <cp:lastPrinted>2021-04-19T05:34:00Z</cp:lastPrinted>
  <dcterms:created xsi:type="dcterms:W3CDTF">2021-04-26T05:28:00Z</dcterms:created>
  <dcterms:modified xsi:type="dcterms:W3CDTF">2021-04-26T05:28:00Z</dcterms:modified>
</cp:coreProperties>
</file>